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B6EB2" w:rsidRPr="004D2E56" w:rsidTr="00547A82">
        <w:trPr>
          <w:trHeight w:val="799"/>
        </w:trPr>
        <w:tc>
          <w:tcPr>
            <w:tcW w:w="9606" w:type="dxa"/>
          </w:tcPr>
          <w:p w:rsidR="007B6EB2" w:rsidRPr="004D2E56" w:rsidRDefault="007B6EB2" w:rsidP="00547A82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УТВЕРЖДАЮ: </w:t>
            </w:r>
          </w:p>
          <w:p w:rsidR="007B6EB2" w:rsidRPr="004D2E56" w:rsidRDefault="00F8402F" w:rsidP="00F8402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B6EB2"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Директор М</w:t>
            </w:r>
            <w:r w:rsidR="00547A82"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АОУ </w:t>
            </w:r>
            <w:r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СОШ № 133 </w:t>
            </w:r>
            <w:r w:rsidR="00547A82"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г. ПЕРМИ</w:t>
            </w:r>
            <w:r w:rsidR="007B6EB2"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B6EB2" w:rsidRPr="004D2E56" w:rsidRDefault="00F8402F" w:rsidP="00547A82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47A82"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«……» …………… 2017</w:t>
            </w:r>
            <w:r w:rsidR="007B6EB2"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 </w:t>
            </w:r>
          </w:p>
          <w:p w:rsidR="007B6EB2" w:rsidRPr="004D2E56" w:rsidRDefault="00547A82" w:rsidP="00547A82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……………………….Э.В. Адамова</w:t>
            </w:r>
            <w:r w:rsidR="007B6EB2" w:rsidRPr="004D2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6EB2" w:rsidRPr="007B6EB2" w:rsidRDefault="007B6EB2" w:rsidP="007B6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ПОЛОЖЕНИЕ</w:t>
      </w:r>
    </w:p>
    <w:p w:rsidR="007B6EB2" w:rsidRPr="007B6EB2" w:rsidRDefault="00547A82" w:rsidP="00547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о</w:t>
      </w:r>
      <w:r w:rsidR="007B6EB2" w:rsidRPr="004D2E5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школьной научно-практической конференции</w:t>
      </w:r>
    </w:p>
    <w:p w:rsidR="007B6EB2" w:rsidRPr="007B6EB2" w:rsidRDefault="007B6EB2" w:rsidP="00F84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  <w:lang w:eastAsia="ru-RU"/>
        </w:rPr>
        <w:t> </w:t>
      </w:r>
      <w:r w:rsidRPr="004D2E5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1. Общие положения</w:t>
      </w:r>
    </w:p>
    <w:p w:rsidR="003E566F" w:rsidRDefault="007B6EB2" w:rsidP="007B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 школьной научно-практической конференции (далее – НПК), порядок её организации, проведения, подведения итогов и награждения победителей. </w:t>
      </w:r>
    </w:p>
    <w:p w:rsidR="007B6EB2" w:rsidRPr="007B6EB2" w:rsidRDefault="007B6EB2" w:rsidP="007B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НПК школьников является одним из направлений работы </w:t>
      </w:r>
      <w:r w:rsidR="00547A82" w:rsidRPr="004D2E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одаренными детьми МАОУ СОШ № 133</w:t>
      </w: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НПК школьников представляет собой обмен мнениями, идеями. </w:t>
      </w:r>
      <w:r w:rsidR="003E566F"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НПК школьников ориентирована на развитие у детей познавательных способностей, умений и навыков исследовательской деятельности, формирование </w:t>
      </w:r>
      <w:proofErr w:type="spellStart"/>
      <w:r w:rsidR="003E566F"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="003E566F"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ориентированного интеллекта.</w:t>
      </w:r>
    </w:p>
    <w:p w:rsidR="007B6EB2" w:rsidRPr="007B6EB2" w:rsidRDefault="007B6EB2" w:rsidP="007B6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2. Цели и задачи     </w:t>
      </w:r>
    </w:p>
    <w:p w:rsidR="007B6EB2" w:rsidRPr="007B6EB2" w:rsidRDefault="007B6EB2" w:rsidP="007B6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НПК</w:t>
      </w: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интеллектуально-творческого потенциала личности учащихся путем совершенствования навыков исследовательского поведения и развития исследовательских способностей. </w:t>
      </w:r>
    </w:p>
    <w:p w:rsidR="007B6EB2" w:rsidRPr="007B6EB2" w:rsidRDefault="007B6EB2" w:rsidP="007B6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НПК:</w:t>
      </w:r>
    </w:p>
    <w:p w:rsidR="007B6EB2" w:rsidRPr="007B6EB2" w:rsidRDefault="007B6EB2" w:rsidP="003E56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Содействие развитию творческой исследовательской активности детей.</w:t>
      </w:r>
    </w:p>
    <w:p w:rsidR="007B6EB2" w:rsidRPr="007B6EB2" w:rsidRDefault="003E566F" w:rsidP="007B6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7B6EB2"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Стимулирование у школьников интереса к фундаментальным и прикладным наукам.</w:t>
      </w:r>
    </w:p>
    <w:p w:rsidR="007B6EB2" w:rsidRPr="007B6EB2" w:rsidRDefault="003E566F" w:rsidP="007B6E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7B6EB2"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формированию у учащихся научной картины мира.</w:t>
      </w:r>
    </w:p>
    <w:p w:rsidR="007B6EB2" w:rsidRPr="007B6EB2" w:rsidRDefault="003E566F" w:rsidP="003E566F">
      <w:pPr>
        <w:spacing w:before="240"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7B6EB2"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Популяризация лучших методических разработок по учебно-исследовательской работе школьников.</w:t>
      </w:r>
    </w:p>
    <w:p w:rsidR="007B6EB2" w:rsidRPr="007B6EB2" w:rsidRDefault="003E566F" w:rsidP="003E566F">
      <w:pPr>
        <w:tabs>
          <w:tab w:val="left" w:pos="1260"/>
        </w:tabs>
        <w:spacing w:before="240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7B6EB2"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Выявление и поддержка одаренных и способных детей, стимулирование их к творчеству и экспериментальной работе.</w:t>
      </w:r>
    </w:p>
    <w:p w:rsidR="007B6EB2" w:rsidRPr="003E566F" w:rsidRDefault="007B6EB2" w:rsidP="007B6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конференции</w:t>
      </w:r>
    </w:p>
    <w:p w:rsidR="007B6EB2" w:rsidRPr="007B6EB2" w:rsidRDefault="007B6EB2" w:rsidP="007B6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Участниками НПК могут </w:t>
      </w:r>
      <w:r w:rsidR="00547A82" w:rsidRPr="004D2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юные исследователи в 1 – 4</w:t>
      </w: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</w:p>
    <w:p w:rsidR="007B6EB2" w:rsidRPr="007B6EB2" w:rsidRDefault="007B6EB2" w:rsidP="007B6EB2">
      <w:p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качестве слушателей на НПК могут присутствовать научные руководители и родители учащихся.</w:t>
      </w:r>
    </w:p>
    <w:p w:rsidR="007B6EB2" w:rsidRPr="003E566F" w:rsidRDefault="007B6EB2" w:rsidP="007B6EB2">
      <w:pPr>
        <w:shd w:val="clear" w:color="auto" w:fill="FFFFFF"/>
        <w:tabs>
          <w:tab w:val="left" w:pos="2870"/>
        </w:tabs>
        <w:spacing w:before="100" w:beforeAutospacing="1" w:after="100" w:afterAutospacing="1" w:line="240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Виды представляемых работ</w:t>
      </w:r>
    </w:p>
    <w:p w:rsidR="007B6EB2" w:rsidRPr="007B6EB2" w:rsidRDefault="007B6EB2" w:rsidP="007B6EB2">
      <w:pPr>
        <w:shd w:val="clear" w:color="auto" w:fill="FFFFFF"/>
        <w:tabs>
          <w:tab w:val="left" w:pos="2870"/>
        </w:tabs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рассмотрению принимаются работы следующих видов:</w:t>
      </w:r>
    </w:p>
    <w:p w:rsidR="007B6EB2" w:rsidRPr="007B6EB2" w:rsidRDefault="007B6EB2" w:rsidP="007B6EB2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Проблемно-реферативная. </w:t>
      </w: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носит проблемный характер, составляется на основе нескольких источников информации и предполагает составление и анализ каких-либо данных, фактов, взглядов, теорий с изложением собственного мнения по поводу представленной информации по проблеме. Работа будет считаться </w:t>
      </w: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исследовательской</w:t>
      </w:r>
      <w:r w:rsid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анализе источников информации и собственной трактовке заявленной проблемы.</w:t>
      </w:r>
    </w:p>
    <w:p w:rsidR="007B6EB2" w:rsidRPr="007B6EB2" w:rsidRDefault="007B6EB2" w:rsidP="007B6EB2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Проблемно-поисковая. </w:t>
      </w: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предполагает самостоятельный поиск и анализ фактического материала (опрос участников событий, интервью, сбор мнений специалистов, изучение документов, материалов периодической печати, участие в экспедиции и т.д.) с собственной трактовкой заявленной проблемы, указанием методов. Проблемно-поисковой считается также самостоятельная разработка компьютерной программы и ее обоснование.</w:t>
      </w:r>
    </w:p>
    <w:p w:rsidR="007B6EB2" w:rsidRPr="007B6EB2" w:rsidRDefault="007B6EB2" w:rsidP="00547A82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Опытно-экспериментальная. </w:t>
      </w:r>
      <w:r w:rsidRPr="007B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с помощью корректной с научной точки зрения методики, в результате которой получается собственный экспериментальный материал, на основе которого делаются анализ и выводы.</w:t>
      </w:r>
    </w:p>
    <w:p w:rsidR="007B6EB2" w:rsidRPr="00716A90" w:rsidRDefault="007B6EB2" w:rsidP="007B6EB2">
      <w:pPr>
        <w:pStyle w:val="a8"/>
        <w:spacing w:before="0" w:beforeAutospacing="0" w:after="120" w:afterAutospacing="0"/>
        <w:ind w:left="283"/>
        <w:jc w:val="center"/>
      </w:pPr>
      <w:r w:rsidRPr="00716A90">
        <w:rPr>
          <w:rStyle w:val="a5"/>
        </w:rPr>
        <w:t>5. Процедура рассмотрения работ, предоставляемых на НПК</w:t>
      </w:r>
    </w:p>
    <w:p w:rsidR="007B6EB2" w:rsidRPr="004D2E56" w:rsidRDefault="007B6EB2" w:rsidP="007B6EB2">
      <w:pPr>
        <w:pStyle w:val="a7"/>
        <w:spacing w:before="0" w:beforeAutospacing="0" w:after="0" w:afterAutospacing="0"/>
        <w:ind w:firstLine="540"/>
      </w:pPr>
      <w:r w:rsidRPr="004D2E56">
        <w:t xml:space="preserve">5.1. Работа может участвовать в конкурсе только один раз. </w:t>
      </w:r>
    </w:p>
    <w:p w:rsidR="007B6EB2" w:rsidRPr="004D2E56" w:rsidRDefault="007B6EB2" w:rsidP="007B6EB2">
      <w:pPr>
        <w:pStyle w:val="a7"/>
        <w:spacing w:before="0" w:beforeAutospacing="0" w:after="0" w:afterAutospacing="0"/>
        <w:ind w:firstLine="540"/>
      </w:pPr>
      <w:r w:rsidRPr="004D2E56">
        <w:t>5.2. Для участия в НПК  необходимо представить в Оргкомитет НПК:</w:t>
      </w:r>
    </w:p>
    <w:p w:rsidR="007B6EB2" w:rsidRPr="004D2E56" w:rsidRDefault="007B6EB2" w:rsidP="00F8402F">
      <w:pPr>
        <w:pStyle w:val="a7"/>
        <w:spacing w:before="0" w:beforeAutospacing="0" w:after="0" w:afterAutospacing="0"/>
      </w:pPr>
      <w:r w:rsidRPr="004D2E56">
        <w:rPr>
          <w:rFonts w:eastAsia="Wingdings"/>
        </w:rPr>
        <w:t xml:space="preserve">Ø  </w:t>
      </w:r>
      <w:r w:rsidRPr="004D2E56">
        <w:t>заявку участника (приложение 1);</w:t>
      </w:r>
      <w:r w:rsidR="00F8402F">
        <w:t xml:space="preserve">                                                                                          </w:t>
      </w:r>
      <w:r w:rsidRPr="004D2E56">
        <w:rPr>
          <w:rFonts w:eastAsia="Wingdings"/>
        </w:rPr>
        <w:t xml:space="preserve">Ø  </w:t>
      </w:r>
      <w:r w:rsidRPr="004D2E56">
        <w:t>саму работу участника, оформленную в соответствии с предъявляемыми требованиями (п. 7 данного Положения);</w:t>
      </w:r>
      <w:r w:rsidR="00F8402F">
        <w:t xml:space="preserve">                                                                                                           </w:t>
      </w:r>
      <w:r w:rsidRPr="004D2E56">
        <w:rPr>
          <w:rFonts w:eastAsia="Wingdings"/>
        </w:rPr>
        <w:t xml:space="preserve">Ø  </w:t>
      </w:r>
      <w:r w:rsidRPr="004D2E56">
        <w:t>тезисы работы в 2-х вариантах: печатном и на электронном носителе (п. 7 данного Положения).</w:t>
      </w:r>
    </w:p>
    <w:p w:rsidR="007B6EB2" w:rsidRPr="004D2E56" w:rsidRDefault="007B6EB2" w:rsidP="007B6EB2">
      <w:pPr>
        <w:pStyle w:val="a7"/>
        <w:spacing w:before="0" w:beforeAutospacing="0" w:after="0" w:afterAutospacing="0"/>
        <w:ind w:firstLine="567"/>
        <w:jc w:val="both"/>
      </w:pPr>
      <w:r w:rsidRPr="004D2E56">
        <w:t>Мероприятие является открытым. Жюри и все присутствующие заслушав автора, задают вопросы, высказывают собственные суждения. Ведущий заседание председатель жюри строго следит за временем обсуждения</w:t>
      </w:r>
      <w:r w:rsidR="00716A90">
        <w:t xml:space="preserve"> (5-7 </w:t>
      </w:r>
      <w:r w:rsidR="001A751A">
        <w:t>минут)</w:t>
      </w:r>
      <w:r w:rsidRPr="004D2E56">
        <w:t xml:space="preserve">. </w:t>
      </w:r>
    </w:p>
    <w:p w:rsidR="007B6EB2" w:rsidRPr="004D2E56" w:rsidRDefault="007B6EB2" w:rsidP="007B6EB2">
      <w:pPr>
        <w:pStyle w:val="a7"/>
        <w:spacing w:before="0" w:beforeAutospacing="0" w:after="0" w:afterAutospacing="0"/>
        <w:ind w:firstLine="567"/>
        <w:jc w:val="both"/>
      </w:pPr>
      <w:r w:rsidRPr="004D2E56">
        <w:t>После прослушивания всех участников на заседании жюри подводятся итоги – определяются лауреаты и победители. Все решения жюри протоколируются и являются окончательными.</w:t>
      </w:r>
    </w:p>
    <w:p w:rsidR="007B6EB2" w:rsidRPr="004D2E56" w:rsidRDefault="007B6EB2" w:rsidP="007B6EB2">
      <w:pPr>
        <w:pStyle w:val="aay1"/>
        <w:spacing w:before="0" w:beforeAutospacing="0" w:after="0" w:afterAutospacing="0"/>
        <w:ind w:firstLine="567"/>
        <w:jc w:val="both"/>
      </w:pPr>
      <w:r w:rsidRPr="004D2E56">
        <w:t>Работы учащихся письменно не рецензируются.</w:t>
      </w:r>
    </w:p>
    <w:p w:rsidR="007B6EB2" w:rsidRPr="004D2E56" w:rsidRDefault="007B6EB2" w:rsidP="007B6EB2">
      <w:pPr>
        <w:pStyle w:val="aay1"/>
        <w:spacing w:before="0" w:beforeAutospacing="0" w:after="0" w:afterAutospacing="0"/>
        <w:ind w:firstLine="567"/>
        <w:jc w:val="both"/>
      </w:pPr>
      <w:r w:rsidRPr="004D2E56">
        <w:t>К рассмотрению не принимаются реферативные и описательные работы.</w:t>
      </w:r>
    </w:p>
    <w:p w:rsidR="007B6EB2" w:rsidRPr="004D2E56" w:rsidRDefault="007B6EB2" w:rsidP="007B6EB2">
      <w:pPr>
        <w:pStyle w:val="a7"/>
        <w:shd w:val="clear" w:color="auto" w:fill="FFFFFF"/>
        <w:tabs>
          <w:tab w:val="left" w:pos="2870"/>
        </w:tabs>
        <w:spacing w:before="0" w:beforeAutospacing="0" w:after="0" w:afterAutospacing="0"/>
        <w:ind w:firstLine="567"/>
        <w:jc w:val="both"/>
      </w:pPr>
      <w:r w:rsidRPr="004D2E56">
        <w:t>Эксперты оценивает каждую работу по следующим критериям (п.6 настоящего Положения)</w:t>
      </w:r>
      <w:r w:rsidRPr="004D2E56">
        <w:rPr>
          <w:rStyle w:val="a5"/>
        </w:rPr>
        <w:t> </w:t>
      </w:r>
    </w:p>
    <w:p w:rsidR="007B6EB2" w:rsidRPr="00716A90" w:rsidRDefault="007B6EB2" w:rsidP="007B6EB2">
      <w:pPr>
        <w:pStyle w:val="a7"/>
        <w:ind w:firstLine="540"/>
        <w:jc w:val="center"/>
      </w:pPr>
      <w:r w:rsidRPr="00716A90">
        <w:rPr>
          <w:rStyle w:val="a5"/>
        </w:rPr>
        <w:t>6. Критерии оценок представляемых работ</w:t>
      </w:r>
    </w:p>
    <w:p w:rsidR="007B6EB2" w:rsidRPr="004D2E56" w:rsidRDefault="007B6EB2" w:rsidP="007B6EB2">
      <w:pPr>
        <w:pStyle w:val="a7"/>
        <w:ind w:firstLine="540"/>
        <w:jc w:val="both"/>
      </w:pPr>
      <w:r w:rsidRPr="004D2E56">
        <w:t>Работа должн</w:t>
      </w:r>
      <w:r w:rsidR="003E566F">
        <w:t xml:space="preserve">а быть выполнена самостоятельно и соответствовать </w:t>
      </w:r>
      <w:r w:rsidRPr="004D2E56">
        <w:t>требованиям</w:t>
      </w:r>
      <w:r w:rsidR="003E566F">
        <w:t xml:space="preserve"> к структуре</w:t>
      </w:r>
      <w:r w:rsidR="00716A90">
        <w:t xml:space="preserve"> и содержанию (Пункт</w:t>
      </w:r>
      <w:r w:rsidR="003E566F">
        <w:t xml:space="preserve"> №</w:t>
      </w:r>
      <w:r w:rsidR="00716A90">
        <w:t>7 )</w:t>
      </w:r>
      <w:bookmarkStart w:id="0" w:name="_GoBack"/>
      <w:bookmarkEnd w:id="0"/>
      <w:r w:rsidRPr="004D2E56">
        <w:t xml:space="preserve">. </w:t>
      </w:r>
    </w:p>
    <w:tbl>
      <w:tblPr>
        <w:tblW w:w="0" w:type="auto"/>
        <w:tblInd w:w="-459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92"/>
        <w:gridCol w:w="2042"/>
      </w:tblGrid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ПАРАМЕТРЫ ОЦЕНОК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выставленные комиссией баллы</w:t>
            </w:r>
          </w:p>
        </w:tc>
      </w:tr>
      <w:tr w:rsidR="007B6EB2" w:rsidRPr="007B6EB2" w:rsidTr="00F8402F">
        <w:trPr>
          <w:trHeight w:val="463"/>
        </w:trPr>
        <w:tc>
          <w:tcPr>
            <w:tcW w:w="6096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ОЦЕНКА РАБОТЫ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B6EB2" w:rsidRPr="007B6EB2" w:rsidTr="00F8402F">
        <w:trPr>
          <w:trHeight w:val="165"/>
        </w:trPr>
        <w:tc>
          <w:tcPr>
            <w:tcW w:w="609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  <w:hideMark/>
          </w:tcPr>
          <w:p w:rsidR="007B6EB2" w:rsidRPr="007B6EB2" w:rsidRDefault="007B6EB2" w:rsidP="007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Актуальность и новизна предлагаемых решений, сложность темы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F8402F">
            <w:pPr>
              <w:spacing w:before="100" w:beforeAutospacing="1" w:after="100" w:afterAutospacing="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Объем разработок и количество предлагаемых решений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Реальность и практическая ценность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Уровень самостоятельности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10, 20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Качество оформления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Подбор материала, содержательность, полнота </w:t>
            </w:r>
          </w:p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(согласно заявленной теме)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Использование собственных (авторских) материалов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10, 20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Оценка рецензентом 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7B6EB2" w:rsidRPr="007B6EB2" w:rsidTr="00F8402F">
        <w:trPr>
          <w:trHeight w:val="510"/>
        </w:trPr>
        <w:tc>
          <w:tcPr>
            <w:tcW w:w="6096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ОЦЕНКА ЗАЩИТЫ</w:t>
            </w: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B6EB2" w:rsidRPr="007B6EB2" w:rsidTr="00F8402F">
        <w:trPr>
          <w:trHeight w:val="128"/>
        </w:trPr>
        <w:tc>
          <w:tcPr>
            <w:tcW w:w="609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  <w:hideMark/>
          </w:tcPr>
          <w:p w:rsidR="007B6EB2" w:rsidRPr="007B6EB2" w:rsidRDefault="007B6EB2" w:rsidP="007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4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7B6EB2" w:rsidRPr="007B6EB2" w:rsidRDefault="007B6EB2" w:rsidP="007B6EB2">
            <w:pPr>
              <w:spacing w:before="100" w:beforeAutospacing="1" w:after="100" w:afterAutospacing="1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B2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</w:tbl>
    <w:p w:rsidR="00863FE1" w:rsidRPr="004D2E56" w:rsidRDefault="00863FE1" w:rsidP="004D2E56">
      <w:pPr>
        <w:pStyle w:val="a7"/>
        <w:jc w:val="both"/>
      </w:pPr>
    </w:p>
    <w:tbl>
      <w:tblPr>
        <w:tblW w:w="9905" w:type="dxa"/>
        <w:tblInd w:w="-459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391"/>
        <w:gridCol w:w="1418"/>
      </w:tblGrid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Проявление глубины и широты знаний по предлагаемой теме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Проявление глубины и широты знаний предметной области 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Ответы на вопросы комиссии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Ответы на вопросы участников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Оценка творческих способностей докладчика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Оценка деловых качеств докладчика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дискуссионно</w:t>
            </w:r>
            <w:proofErr w:type="spellEnd"/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- ораторских навыков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Сценарий защиты</w:t>
            </w:r>
            <w:r w:rsidR="00F8402F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,</w:t>
            </w:r>
            <w:r w:rsidR="00F8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грамотное построение доклада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5, 10, 20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Дополнительные баллы (0-5)</w:t>
            </w:r>
            <w:r w:rsidR="00F8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Начисляются по усмотрению жюри за  оригинальность решения, оформления, за использование современных технологий, научный подход, практическую значимость проекта и т.д.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  <w:tr w:rsidR="00863FE1" w:rsidRPr="00863FE1" w:rsidTr="00F8402F">
        <w:tc>
          <w:tcPr>
            <w:tcW w:w="609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ИТОГОВАЯ ОЦЕНКА (БАЛЛ)</w:t>
            </w:r>
          </w:p>
        </w:tc>
        <w:tc>
          <w:tcPr>
            <w:tcW w:w="239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:rsidR="00863FE1" w:rsidRPr="00863FE1" w:rsidRDefault="00863FE1" w:rsidP="001D0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180 и выше – </w:t>
            </w:r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«отлично</w:t>
            </w:r>
            <w:proofErr w:type="gramStart"/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»</w:t>
            </w: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,</w:t>
            </w:r>
            <w:r w:rsidR="001D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1D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120-175 – </w:t>
            </w:r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«хорошо»</w:t>
            </w: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,</w:t>
            </w:r>
            <w:r w:rsidR="001D03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  </w:t>
            </w: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90-115 – </w:t>
            </w:r>
            <w:r w:rsidR="001D038A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«</w:t>
            </w:r>
            <w:proofErr w:type="spellStart"/>
            <w:r w:rsidR="001D038A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удов</w:t>
            </w:r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лет</w:t>
            </w:r>
            <w:r w:rsidR="001D038A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-</w:t>
            </w:r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ворительно</w:t>
            </w:r>
            <w:proofErr w:type="spellEnd"/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»</w:t>
            </w: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, </w:t>
            </w:r>
            <w:r w:rsidR="001D03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   </w:t>
            </w: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менее 85 – </w:t>
            </w:r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«неудов</w:t>
            </w:r>
            <w:r w:rsidR="001D038A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-</w:t>
            </w:r>
            <w:proofErr w:type="spellStart"/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летворительно</w:t>
            </w:r>
            <w:proofErr w:type="spellEnd"/>
            <w:r w:rsidRPr="004D2E5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</w:tr>
    </w:tbl>
    <w:p w:rsidR="00863FE1" w:rsidRPr="00863FE1" w:rsidRDefault="00863FE1" w:rsidP="00863FE1">
      <w:pPr>
        <w:tabs>
          <w:tab w:val="left" w:pos="270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секции 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</w:t>
      </w:r>
    </w:p>
    <w:p w:rsidR="00863FE1" w:rsidRPr="00863FE1" w:rsidRDefault="00863FE1" w:rsidP="00863FE1">
      <w:pPr>
        <w:tabs>
          <w:tab w:val="left" w:pos="270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экспертов 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</w:t>
      </w:r>
    </w:p>
    <w:p w:rsidR="00863FE1" w:rsidRPr="003E566F" w:rsidRDefault="00863FE1" w:rsidP="00F8402F">
      <w:pPr>
        <w:shd w:val="clear" w:color="auto" w:fill="FFFFFF"/>
        <w:tabs>
          <w:tab w:val="left" w:pos="2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402F"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Требования к представляемым работам</w:t>
      </w:r>
    </w:p>
    <w:p w:rsidR="00863FE1" w:rsidRPr="00863FE1" w:rsidRDefault="00863FE1" w:rsidP="00863FE1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работы:</w:t>
      </w:r>
    </w:p>
    <w:p w:rsidR="00863FE1" w:rsidRPr="00863FE1" w:rsidRDefault="00863FE1" w:rsidP="00863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Оглавление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оглавление должны быть включены: основные заголовки работы, введение, название глав и параграфов, заключение, список источников и литературы, названия приложений и соответствующие номера страницы);</w:t>
      </w:r>
    </w:p>
    <w:p w:rsidR="00863FE1" w:rsidRPr="00863FE1" w:rsidRDefault="00863FE1" w:rsidP="00863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работы в решение избранной проблемы.</w:t>
      </w:r>
    </w:p>
    <w:p w:rsidR="00863FE1" w:rsidRPr="00863FE1" w:rsidRDefault="00863FE1" w:rsidP="00863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часть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</w:p>
    <w:p w:rsidR="00863FE1" w:rsidRPr="00863FE1" w:rsidRDefault="00863FE1" w:rsidP="00863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заключение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исследования)</w:t>
      </w:r>
    </w:p>
    <w:p w:rsidR="00863FE1" w:rsidRPr="00863FE1" w:rsidRDefault="00863FE1" w:rsidP="00863F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использованных источников и литературы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правилами библиографии).</w:t>
      </w:r>
    </w:p>
    <w:p w:rsidR="00863FE1" w:rsidRPr="00863FE1" w:rsidRDefault="00863FE1" w:rsidP="00863F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содержать приложения с иллюстрированным материалом (рисунки, схемы, карты, таблицы, фотографии и т.д.)</w:t>
      </w:r>
    </w:p>
    <w:p w:rsidR="00863FE1" w:rsidRPr="00863FE1" w:rsidRDefault="00863FE1" w:rsidP="0086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лист – 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(см. приложение 2). Название темы должно быть кратким, но емким, конкретным, проблемным или нацеливающим.</w:t>
      </w:r>
    </w:p>
    <w:p w:rsidR="00863FE1" w:rsidRPr="00863FE1" w:rsidRDefault="00863FE1" w:rsidP="0086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лист – 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оглавление.</w:t>
      </w:r>
    </w:p>
    <w:p w:rsidR="00863FE1" w:rsidRPr="00863FE1" w:rsidRDefault="00863FE1" w:rsidP="0086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3, 4 листы – 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по тексту работы.</w:t>
      </w:r>
    </w:p>
    <w:p w:rsidR="00863FE1" w:rsidRPr="00863FE1" w:rsidRDefault="00863FE1" w:rsidP="00863FE1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листы не нумеруются и не входят в общий объем работы. Приложения также не входят в общий объем работы и помещаются после заключения. </w:t>
      </w:r>
    </w:p>
    <w:p w:rsidR="00863FE1" w:rsidRPr="004D2E56" w:rsidRDefault="00863FE1" w:rsidP="00863FE1">
      <w:pPr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2E56">
        <w:rPr>
          <w:rStyle w:val="a5"/>
          <w:rFonts w:ascii="Times New Roman" w:hAnsi="Times New Roman" w:cs="Times New Roman"/>
          <w:bCs w:val="0"/>
          <w:sz w:val="24"/>
          <w:szCs w:val="24"/>
        </w:rPr>
        <w:t>Требования к оформлению работы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  <w:u w:val="single"/>
        </w:rPr>
        <w:t>Параметры страницы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>Установить в «Файл – Параметры страницы» следующие установки: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>поля: верхнее – 15 мм, нижнее – 20 мм, левое – 30 мм, правое – 10 мм, Формат А4.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  <w:u w:val="single"/>
        </w:rPr>
        <w:t>Параметры основного текста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 xml:space="preserve">Шрифт – </w:t>
      </w:r>
      <w:proofErr w:type="spellStart"/>
      <w:r w:rsidRPr="004D2E56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4D2E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E56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4D2E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E56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4D2E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E56">
        <w:rPr>
          <w:rFonts w:ascii="Times New Roman" w:hAnsi="Times New Roman" w:cs="Times New Roman"/>
          <w:bCs/>
          <w:sz w:val="24"/>
          <w:szCs w:val="24"/>
        </w:rPr>
        <w:t>Cyr</w:t>
      </w:r>
      <w:proofErr w:type="spellEnd"/>
      <w:r w:rsidRPr="004D2E56">
        <w:rPr>
          <w:rFonts w:ascii="Times New Roman" w:hAnsi="Times New Roman" w:cs="Times New Roman"/>
          <w:bCs/>
          <w:sz w:val="24"/>
          <w:szCs w:val="24"/>
        </w:rPr>
        <w:t>, размер – 14 пт., начертание – нормальное, межстрочный интервал – одинарный, абзацный отступ (отступ первой строки) – 1-1,5 см, форматирование – по ширине. Установка функции «переноса» обязательна.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  <w:u w:val="single"/>
        </w:rPr>
        <w:t>Параметры заголовка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 xml:space="preserve">Шрифт – </w:t>
      </w:r>
      <w:proofErr w:type="spellStart"/>
      <w:r w:rsidRPr="004D2E56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4D2E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E56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4D2E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E56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4D2E56">
        <w:rPr>
          <w:rFonts w:ascii="Times New Roman" w:hAnsi="Times New Roman" w:cs="Times New Roman"/>
          <w:bCs/>
          <w:sz w:val="24"/>
          <w:szCs w:val="24"/>
        </w:rPr>
        <w:t>, размер – 16 пт., начертание – полужирное, межстрочный интервал – одинарный, форматирование – по центру.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>Если заголовок состоит из двух предложений, их разделяют точкой. Точка в конце заголовка не ставится. Переносы слов в заголовках не допускаются.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  <w:u w:val="single"/>
        </w:rPr>
        <w:t>Оформление приложений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>Материал, дополняющий содержание работы, допускается помещать в приложениях. Приложениями могут быть, например, иллюстративный материал, таблицы большого формата, расчеты.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>После слова «Приложение» следует арабская цифра, обозначающая его последовательность (</w:t>
      </w:r>
      <w:proofErr w:type="gramStart"/>
      <w:r w:rsidRPr="004D2E56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Pr="004D2E56">
        <w:rPr>
          <w:rFonts w:ascii="Times New Roman" w:hAnsi="Times New Roman" w:cs="Times New Roman"/>
          <w:bCs/>
          <w:sz w:val="24"/>
          <w:szCs w:val="24"/>
        </w:rPr>
        <w:t>: Приложение 1, Приложение 2 и т.д.)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>В тексте работы на все приложения должны быть даны ссылки (</w:t>
      </w:r>
      <w:proofErr w:type="gramStart"/>
      <w:r w:rsidRPr="004D2E56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Pr="004D2E56">
        <w:rPr>
          <w:rFonts w:ascii="Times New Roman" w:hAnsi="Times New Roman" w:cs="Times New Roman"/>
          <w:bCs/>
          <w:sz w:val="24"/>
          <w:szCs w:val="24"/>
        </w:rPr>
        <w:t>: см. приложение 8). Приложения располагают в порядке ссылок на них в тексте работы.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>Каждое приложение следует начинать с новой страницы с указанием наверху справа страницы слова «Приложение» и его номер.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bCs/>
          <w:sz w:val="24"/>
          <w:szCs w:val="24"/>
        </w:rPr>
        <w:t>Приложение должно иметь заголовок, который записывают по центру относительно самого приложения с заглавной буквы отдельной строкой.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sz w:val="24"/>
          <w:szCs w:val="24"/>
        </w:rPr>
        <w:t>Приложения должны иметь общую с остальной частью работы сквозную нумерацию страниц.</w:t>
      </w:r>
    </w:p>
    <w:p w:rsidR="00863FE1" w:rsidRPr="004D2E56" w:rsidRDefault="00863FE1" w:rsidP="00863FE1">
      <w:pPr>
        <w:pStyle w:val="aa"/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sz w:val="24"/>
          <w:szCs w:val="24"/>
        </w:rPr>
        <w:lastRenderedPageBreak/>
        <w:t>Все приложения должны быть перечислены в оглавлении работы (при наличии) с указанием их номеров и заголовков.</w:t>
      </w:r>
    </w:p>
    <w:p w:rsidR="00863FE1" w:rsidRPr="004D2E56" w:rsidRDefault="00863FE1" w:rsidP="00863FE1">
      <w:pPr>
        <w:pStyle w:val="a7"/>
        <w:ind w:firstLine="540"/>
        <w:jc w:val="both"/>
      </w:pPr>
      <w:r w:rsidRPr="004D2E56">
        <w:t>Работы помещаются в пластиковый скоросшиватель.</w:t>
      </w:r>
    </w:p>
    <w:p w:rsidR="00863FE1" w:rsidRPr="004D2E56" w:rsidRDefault="00863FE1" w:rsidP="00863FE1">
      <w:pPr>
        <w:pStyle w:val="a8"/>
        <w:spacing w:before="0" w:beforeAutospacing="0" w:after="120" w:afterAutospacing="0"/>
        <w:ind w:left="283"/>
        <w:jc w:val="center"/>
      </w:pPr>
      <w:r w:rsidRPr="004D2E56">
        <w:rPr>
          <w:rStyle w:val="a5"/>
          <w:bCs w:val="0"/>
        </w:rPr>
        <w:t>Требования к оформлению тезисов</w:t>
      </w:r>
    </w:p>
    <w:p w:rsidR="00863FE1" w:rsidRPr="004D2E56" w:rsidRDefault="00863FE1" w:rsidP="00863FE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sz w:val="24"/>
          <w:szCs w:val="24"/>
        </w:rPr>
        <w:t xml:space="preserve">Тезисы должны быть набраны в текстовом редакторе </w:t>
      </w:r>
      <w:r w:rsidRPr="004D2E5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D2E56">
        <w:rPr>
          <w:rFonts w:ascii="Times New Roman" w:hAnsi="Times New Roman" w:cs="Times New Roman"/>
          <w:sz w:val="24"/>
          <w:szCs w:val="24"/>
        </w:rPr>
        <w:t xml:space="preserve"> </w:t>
      </w:r>
      <w:r w:rsidRPr="004D2E5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D2E56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Pr="004D2E5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D2E56">
        <w:rPr>
          <w:rFonts w:ascii="Times New Roman" w:hAnsi="Times New Roman" w:cs="Times New Roman"/>
          <w:sz w:val="24"/>
          <w:szCs w:val="24"/>
        </w:rPr>
        <w:t xml:space="preserve"> </w:t>
      </w:r>
      <w:r w:rsidRPr="004D2E5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4D2E56">
        <w:rPr>
          <w:rFonts w:ascii="Times New Roman" w:hAnsi="Times New Roman" w:cs="Times New Roman"/>
          <w:sz w:val="24"/>
          <w:szCs w:val="24"/>
        </w:rPr>
        <w:t xml:space="preserve"> </w:t>
      </w:r>
      <w:r w:rsidRPr="004D2E5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4D2E56">
        <w:rPr>
          <w:rFonts w:ascii="Times New Roman" w:hAnsi="Times New Roman" w:cs="Times New Roman"/>
          <w:sz w:val="24"/>
          <w:szCs w:val="24"/>
        </w:rPr>
        <w:t xml:space="preserve">, размер 12 </w:t>
      </w:r>
      <w:proofErr w:type="spellStart"/>
      <w:r w:rsidRPr="004D2E5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D2E56">
        <w:rPr>
          <w:rFonts w:ascii="Times New Roman" w:hAnsi="Times New Roman" w:cs="Times New Roman"/>
          <w:sz w:val="24"/>
          <w:szCs w:val="24"/>
        </w:rPr>
        <w:t xml:space="preserve"> одинарным межстрочным интервалом. Параметры страницы – поля: верхнее -2,0 см, нижнее – 2,0 см, левое – 2,0 см, правое –2,0; без нумерации страниц.  Заголовок печатать прописными буквами по центру страницы полужирным шрифтом (размер 12 </w:t>
      </w:r>
      <w:proofErr w:type="spellStart"/>
      <w:r w:rsidRPr="004D2E5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D2E56">
        <w:rPr>
          <w:rFonts w:ascii="Times New Roman" w:hAnsi="Times New Roman" w:cs="Times New Roman"/>
          <w:sz w:val="24"/>
          <w:szCs w:val="24"/>
        </w:rPr>
        <w:t>), точку в конце заголовка не ставить.</w:t>
      </w:r>
    </w:p>
    <w:p w:rsidR="00863FE1" w:rsidRPr="004D2E56" w:rsidRDefault="00863FE1" w:rsidP="00863FE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sz w:val="24"/>
          <w:szCs w:val="24"/>
        </w:rPr>
        <w:t xml:space="preserve">Под названием тезисов следуют фамилии, имя авторов (полностью) по правому краю страницы </w:t>
      </w:r>
    </w:p>
    <w:p w:rsidR="00863FE1" w:rsidRPr="004D2E56" w:rsidRDefault="00863FE1" w:rsidP="00863FE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D2E56">
        <w:rPr>
          <w:rFonts w:ascii="Times New Roman" w:hAnsi="Times New Roman" w:cs="Times New Roman"/>
          <w:sz w:val="24"/>
          <w:szCs w:val="24"/>
        </w:rPr>
        <w:t>Населенный пункт, наименование образовательного учреждения, класс печатается сразу под фамилиями авторов</w:t>
      </w:r>
    </w:p>
    <w:p w:rsidR="00863FE1" w:rsidRPr="004D2E56" w:rsidRDefault="00863FE1" w:rsidP="00863FE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D2E56">
        <w:rPr>
          <w:rStyle w:val="a5"/>
          <w:rFonts w:ascii="Times New Roman" w:hAnsi="Times New Roman" w:cs="Times New Roman"/>
          <w:bCs w:val="0"/>
          <w:sz w:val="24"/>
          <w:szCs w:val="24"/>
        </w:rPr>
        <w:t>Пример:</w:t>
      </w:r>
    </w:p>
    <w:p w:rsidR="00863FE1" w:rsidRPr="004D2E56" w:rsidRDefault="00863FE1" w:rsidP="00863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E56">
        <w:rPr>
          <w:rStyle w:val="a5"/>
          <w:rFonts w:ascii="Times New Roman" w:hAnsi="Times New Roman" w:cs="Times New Roman"/>
          <w:bCs w:val="0"/>
          <w:sz w:val="24"/>
          <w:szCs w:val="24"/>
        </w:rPr>
        <w:t>МОЛОДЕЖНЫЙ СЛЕНГ: НЕКОТОРЫЕ ПРОБЛЕМЫ</w:t>
      </w:r>
    </w:p>
    <w:p w:rsidR="00863FE1" w:rsidRPr="004D2E56" w:rsidRDefault="00863FE1" w:rsidP="00863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E56">
        <w:rPr>
          <w:rStyle w:val="a5"/>
          <w:rFonts w:ascii="Times New Roman" w:hAnsi="Times New Roman" w:cs="Times New Roman"/>
          <w:bCs w:val="0"/>
          <w:sz w:val="24"/>
          <w:szCs w:val="24"/>
        </w:rPr>
        <w:t>УПОТРЕБЛЕНИЯ И ОБРАЗОВАНИЯ</w:t>
      </w:r>
    </w:p>
    <w:p w:rsidR="00863FE1" w:rsidRPr="004D2E56" w:rsidRDefault="004D2E56" w:rsidP="00863FE1">
      <w:pPr>
        <w:jc w:val="right"/>
        <w:rPr>
          <w:rFonts w:ascii="Times New Roman" w:hAnsi="Times New Roman" w:cs="Times New Roman"/>
          <w:sz w:val="24"/>
          <w:szCs w:val="24"/>
        </w:rPr>
      </w:pPr>
      <w:r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>Денисевич</w:t>
      </w:r>
      <w:r w:rsidR="00863FE1"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 xml:space="preserve"> Юлия, </w:t>
      </w:r>
      <w:r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>Иванов Лев</w:t>
      </w:r>
    </w:p>
    <w:p w:rsidR="00863FE1" w:rsidRPr="004D2E56" w:rsidRDefault="004D2E56" w:rsidP="00F8402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>г. Пермь</w:t>
      </w:r>
      <w:r w:rsidR="00863FE1"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>,</w:t>
      </w:r>
      <w:r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="00863FE1"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 xml:space="preserve"> М</w:t>
      </w:r>
      <w:r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>АОУ СОШ № 133</w:t>
      </w:r>
      <w:r w:rsidR="00863FE1" w:rsidRPr="004D2E56">
        <w:rPr>
          <w:rStyle w:val="a6"/>
          <w:rFonts w:ascii="Times New Roman" w:hAnsi="Times New Roman" w:cs="Times New Roman"/>
          <w:iCs w:val="0"/>
          <w:sz w:val="24"/>
          <w:szCs w:val="24"/>
        </w:rPr>
        <w:t>, 6 «А» класс</w:t>
      </w:r>
    </w:p>
    <w:p w:rsidR="00863FE1" w:rsidRPr="003E566F" w:rsidRDefault="00863FE1" w:rsidP="00863FE1">
      <w:pPr>
        <w:pStyle w:val="a7"/>
        <w:jc w:val="center"/>
      </w:pPr>
      <w:r w:rsidRPr="003E566F">
        <w:t> </w:t>
      </w:r>
      <w:r w:rsidRPr="003E566F">
        <w:rPr>
          <w:rStyle w:val="a5"/>
        </w:rPr>
        <w:t>8. Секции НПК</w:t>
      </w:r>
    </w:p>
    <w:p w:rsidR="00863FE1" w:rsidRPr="004D2E56" w:rsidRDefault="00863FE1" w:rsidP="00863FE1">
      <w:pPr>
        <w:pStyle w:val="a7"/>
        <w:spacing w:before="0" w:beforeAutospacing="0" w:after="0" w:afterAutospacing="0"/>
        <w:jc w:val="both"/>
      </w:pPr>
      <w:r w:rsidRPr="004D2E56">
        <w:t xml:space="preserve">На научно-практической конференции ведется работа по следующим секциям и отделениям: </w:t>
      </w:r>
    </w:p>
    <w:p w:rsidR="00863FE1" w:rsidRPr="00486043" w:rsidRDefault="00863FE1" w:rsidP="00486043">
      <w:pPr>
        <w:pStyle w:val="ac"/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604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Гуманитарная секция: </w:t>
      </w:r>
      <w:r w:rsidRPr="00486043">
        <w:rPr>
          <w:rFonts w:ascii="Times New Roman" w:hAnsi="Times New Roman" w:cs="Times New Roman"/>
          <w:sz w:val="24"/>
          <w:szCs w:val="24"/>
        </w:rPr>
        <w:t>литературоведение, история России, языкознание, искусствоведение, краеведение.</w:t>
      </w:r>
    </w:p>
    <w:p w:rsidR="00863FE1" w:rsidRPr="00486043" w:rsidRDefault="00863FE1" w:rsidP="00486043">
      <w:pPr>
        <w:pStyle w:val="ac"/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6043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486043">
        <w:rPr>
          <w:rStyle w:val="a6"/>
          <w:rFonts w:ascii="Times New Roman" w:hAnsi="Times New Roman" w:cs="Times New Roman"/>
          <w:b/>
          <w:bCs/>
          <w:sz w:val="24"/>
          <w:szCs w:val="24"/>
        </w:rPr>
        <w:t>Математическая секция:</w:t>
      </w:r>
      <w:r w:rsidRPr="00486043">
        <w:rPr>
          <w:rFonts w:ascii="Times New Roman" w:hAnsi="Times New Roman" w:cs="Times New Roman"/>
          <w:sz w:val="24"/>
          <w:szCs w:val="24"/>
        </w:rPr>
        <w:t xml:space="preserve">  многообразие математики. </w:t>
      </w:r>
    </w:p>
    <w:p w:rsidR="00863FE1" w:rsidRPr="00486043" w:rsidRDefault="00863FE1" w:rsidP="00486043">
      <w:pPr>
        <w:pStyle w:val="ac"/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6043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486043">
        <w:rPr>
          <w:rStyle w:val="a6"/>
          <w:rFonts w:ascii="Times New Roman" w:hAnsi="Times New Roman" w:cs="Times New Roman"/>
          <w:b/>
          <w:bCs/>
          <w:sz w:val="24"/>
          <w:szCs w:val="24"/>
        </w:rPr>
        <w:t>Естественно-научная секция:</w:t>
      </w:r>
      <w:r w:rsidRPr="00486043">
        <w:rPr>
          <w:rFonts w:ascii="Times New Roman" w:hAnsi="Times New Roman" w:cs="Times New Roman"/>
          <w:sz w:val="24"/>
          <w:szCs w:val="24"/>
        </w:rPr>
        <w:t xml:space="preserve"> биология, география, экология и проблемы Земли, </w:t>
      </w:r>
      <w:proofErr w:type="spellStart"/>
      <w:r w:rsidRPr="00486043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486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E1" w:rsidRPr="004D2E56" w:rsidRDefault="00863FE1" w:rsidP="00863FE1">
      <w:pPr>
        <w:pStyle w:val="a7"/>
        <w:spacing w:before="0" w:beforeAutospacing="0" w:after="0" w:afterAutospacing="0"/>
        <w:ind w:firstLine="540"/>
        <w:jc w:val="both"/>
      </w:pPr>
      <w:r w:rsidRPr="004D2E56">
        <w:t>Количество и название отделений в секциях могут варьироваться оргкомитетом в зависимости от числа и направлений заявленных работ.</w:t>
      </w:r>
    </w:p>
    <w:p w:rsidR="00863FE1" w:rsidRPr="003E566F" w:rsidRDefault="00863FE1" w:rsidP="00863FE1">
      <w:pPr>
        <w:pStyle w:val="a7"/>
        <w:jc w:val="center"/>
      </w:pPr>
      <w:r w:rsidRPr="003E566F">
        <w:rPr>
          <w:rStyle w:val="a5"/>
        </w:rPr>
        <w:t>9. Оргкомитет НПК</w:t>
      </w:r>
    </w:p>
    <w:p w:rsidR="00863FE1" w:rsidRPr="00863FE1" w:rsidRDefault="00863FE1" w:rsidP="00863FE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научно-практической конференцией осуществляет </w:t>
      </w:r>
      <w:r w:rsidRPr="004D2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организационный комитет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</w:t>
      </w:r>
      <w:r w:rsidR="004D2E56" w:rsidRPr="004D2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входят зам. директора по В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Р, координатор по работе с одаренными детьми, руководители методических объединений, учителя.</w:t>
      </w:r>
    </w:p>
    <w:p w:rsidR="00863FE1" w:rsidRPr="00863FE1" w:rsidRDefault="00863FE1" w:rsidP="00863FE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координирует работу по подготовке и проведению научно-практической конференции; формирует экспертный совет и членов предметных жюри, состав которых утверждается приказом директора М</w:t>
      </w:r>
      <w:r w:rsidR="004D2E56" w:rsidRPr="004D2E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№</w:t>
      </w:r>
      <w:r w:rsidR="004D2E56" w:rsidRPr="004D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составляет программу научно-практической конференции, список участников, протоколы, сметы расходов научно-практической конференции.</w:t>
      </w:r>
    </w:p>
    <w:p w:rsidR="00863FE1" w:rsidRPr="00863FE1" w:rsidRDefault="00863FE1" w:rsidP="00863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работе в жюри привлекаются специалисты, занимающиеся исследовательским обучением детей и взрослых.</w:t>
      </w:r>
    </w:p>
    <w:p w:rsidR="00863FE1" w:rsidRPr="00863FE1" w:rsidRDefault="00863FE1" w:rsidP="00863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не могут входить учителя, ученики которых участвуют в научно-практической конференции.</w:t>
      </w:r>
    </w:p>
    <w:p w:rsidR="00863FE1" w:rsidRPr="003E566F" w:rsidRDefault="00863FE1" w:rsidP="00863F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Порядок определения победителей</w:t>
      </w:r>
    </w:p>
    <w:p w:rsidR="00863FE1" w:rsidRPr="00863FE1" w:rsidRDefault="00863FE1" w:rsidP="00863F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 НПК определяет жюри при независимо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рассмотрении работ и подведении общего итога. Победители и призеры награждаются дипломами. Каждый участник НПК  получает свидетельство участника. </w:t>
      </w:r>
    </w:p>
    <w:p w:rsidR="00863FE1" w:rsidRPr="00863FE1" w:rsidRDefault="00863FE1" w:rsidP="00863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 </w:t>
      </w:r>
      <w:r w:rsid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родители 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участников-призеров получают благодарственные письма.</w:t>
      </w:r>
    </w:p>
    <w:p w:rsidR="00863FE1" w:rsidRPr="003E566F" w:rsidRDefault="00863FE1" w:rsidP="00863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Финансирование</w:t>
      </w:r>
    </w:p>
    <w:p w:rsidR="00863FE1" w:rsidRPr="00863FE1" w:rsidRDefault="00863FE1" w:rsidP="0048604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организации церемонии награждения победителей и призеров НПК младших школьников несёт родительский комитет </w:t>
      </w:r>
      <w:r w:rsidR="004D2E56" w:rsidRPr="004D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D2E56" w:rsidRPr="004D2E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4D2E56" w:rsidRPr="004D2E56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3FE1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 </w:t>
      </w:r>
    </w:p>
    <w:p w:rsidR="00863FE1" w:rsidRPr="00863FE1" w:rsidRDefault="00863FE1" w:rsidP="00863FE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63FE1" w:rsidRPr="00863FE1" w:rsidTr="00863FE1">
        <w:trPr>
          <w:tblCellSpacing w:w="15" w:type="dxa"/>
        </w:trPr>
        <w:tc>
          <w:tcPr>
            <w:tcW w:w="0" w:type="auto"/>
            <w:hideMark/>
          </w:tcPr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  <w:r w:rsidRPr="0086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школьной научно-практической конференции</w:t>
            </w:r>
            <w:r w:rsidRPr="004D2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8" w:space="0" w:color="4BACC6" w:themeColor="accent5"/>
                <w:left w:val="single" w:sz="8" w:space="0" w:color="4BACC6" w:themeColor="accent5"/>
                <w:bottom w:val="single" w:sz="8" w:space="0" w:color="4BACC6" w:themeColor="accent5"/>
                <w:right w:val="single" w:sz="8" w:space="0" w:color="4BACC6" w:themeColor="accent5"/>
              </w:tblBorders>
              <w:tblLook w:val="01E0" w:firstRow="1" w:lastRow="1" w:firstColumn="1" w:lastColumn="1" w:noHBand="0" w:noVBand="0"/>
            </w:tblPr>
            <w:tblGrid>
              <w:gridCol w:w="1765"/>
              <w:gridCol w:w="995"/>
              <w:gridCol w:w="1760"/>
              <w:gridCol w:w="1431"/>
              <w:gridCol w:w="1726"/>
              <w:gridCol w:w="1658"/>
            </w:tblGrid>
            <w:tr w:rsidR="00863FE1" w:rsidRPr="00863FE1">
              <w:tc>
                <w:tcPr>
                  <w:tcW w:w="1790" w:type="dxa"/>
                  <w:tcBorders>
                    <w:top w:val="single" w:sz="8" w:space="0" w:color="4BACC6" w:themeColor="accent5"/>
                    <w:left w:val="single" w:sz="8" w:space="0" w:color="4BACC6" w:themeColor="accent5"/>
                    <w:bottom w:val="single" w:sz="18" w:space="0" w:color="4BACC6" w:themeColor="accent5"/>
                    <w:right w:val="single" w:sz="8" w:space="0" w:color="4BACC6" w:themeColor="accent5"/>
                  </w:tcBorders>
                  <w:shd w:val="clear" w:color="auto" w:fill="auto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E56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Ф.И.О.</w:t>
                  </w:r>
                </w:p>
                <w:p w:rsidR="00863FE1" w:rsidRPr="00863FE1" w:rsidRDefault="00863FE1" w:rsidP="00863F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E56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участника</w:t>
                  </w:r>
                </w:p>
              </w:tc>
              <w:tc>
                <w:tcPr>
                  <w:tcW w:w="1005" w:type="dxa"/>
                  <w:tcBorders>
                    <w:top w:val="single" w:sz="8" w:space="0" w:color="4BACC6" w:themeColor="accent5"/>
                    <w:left w:val="single" w:sz="8" w:space="0" w:color="4BACC6" w:themeColor="accent5"/>
                    <w:bottom w:val="single" w:sz="18" w:space="0" w:color="4BACC6" w:themeColor="accent5"/>
                    <w:right w:val="single" w:sz="8" w:space="0" w:color="4BACC6" w:themeColor="accent5"/>
                  </w:tcBorders>
                  <w:shd w:val="clear" w:color="auto" w:fill="D2EAF1" w:themeFill="accent5" w:themeFillTint="3F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E56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794" w:type="dxa"/>
                  <w:tcBorders>
                    <w:top w:val="single" w:sz="8" w:space="0" w:color="4BACC6" w:themeColor="accent5"/>
                    <w:left w:val="single" w:sz="8" w:space="0" w:color="4BACC6" w:themeColor="accent5"/>
                    <w:bottom w:val="single" w:sz="18" w:space="0" w:color="4BACC6" w:themeColor="accent5"/>
                    <w:right w:val="single" w:sz="8" w:space="0" w:color="4BACC6" w:themeColor="accent5"/>
                  </w:tcBorders>
                  <w:shd w:val="clear" w:color="auto" w:fill="auto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E56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1459" w:type="dxa"/>
                  <w:tcBorders>
                    <w:top w:val="single" w:sz="8" w:space="0" w:color="4BACC6" w:themeColor="accent5"/>
                    <w:left w:val="single" w:sz="8" w:space="0" w:color="4BACC6" w:themeColor="accent5"/>
                    <w:bottom w:val="single" w:sz="18" w:space="0" w:color="4BACC6" w:themeColor="accent5"/>
                    <w:right w:val="single" w:sz="8" w:space="0" w:color="4BACC6" w:themeColor="accent5"/>
                  </w:tcBorders>
                  <w:shd w:val="clear" w:color="auto" w:fill="D2EAF1" w:themeFill="accent5" w:themeFillTint="3F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E56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секция</w:t>
                  </w:r>
                </w:p>
              </w:tc>
              <w:tc>
                <w:tcPr>
                  <w:tcW w:w="1374" w:type="dxa"/>
                  <w:tcBorders>
                    <w:top w:val="single" w:sz="8" w:space="0" w:color="4BACC6" w:themeColor="accent5"/>
                    <w:left w:val="single" w:sz="8" w:space="0" w:color="4BACC6" w:themeColor="accent5"/>
                    <w:bottom w:val="single" w:sz="18" w:space="0" w:color="4BACC6" w:themeColor="accent5"/>
                    <w:right w:val="single" w:sz="8" w:space="0" w:color="4BACC6" w:themeColor="accent5"/>
                  </w:tcBorders>
                  <w:shd w:val="clear" w:color="auto" w:fill="auto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E56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Ф.И.О. руководителя</w:t>
                  </w:r>
                </w:p>
              </w:tc>
              <w:tc>
                <w:tcPr>
                  <w:tcW w:w="1439" w:type="dxa"/>
                  <w:tcBorders>
                    <w:top w:val="single" w:sz="8" w:space="0" w:color="4BACC6" w:themeColor="accent5"/>
                    <w:left w:val="single" w:sz="8" w:space="0" w:color="4BACC6" w:themeColor="accent5"/>
                    <w:bottom w:val="single" w:sz="18" w:space="0" w:color="4BACC6" w:themeColor="accent5"/>
                    <w:right w:val="single" w:sz="8" w:space="0" w:color="4BACC6" w:themeColor="accent5"/>
                  </w:tcBorders>
                  <w:shd w:val="clear" w:color="auto" w:fill="auto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E56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необходимые ТСО</w:t>
                  </w:r>
                </w:p>
              </w:tc>
            </w:tr>
            <w:tr w:rsidR="00863FE1" w:rsidRPr="00863FE1">
              <w:tc>
                <w:tcPr>
                  <w:tcW w:w="1790" w:type="dxa"/>
                  <w:tcBorders>
                    <w:top w:val="double" w:sz="6" w:space="0" w:color="4BACC6" w:themeColor="accent5"/>
                    <w:left w:val="single" w:sz="8" w:space="0" w:color="4BACC6" w:themeColor="accent5"/>
                    <w:bottom w:val="single" w:sz="8" w:space="0" w:color="4BACC6" w:themeColor="accent5"/>
                    <w:right w:val="single" w:sz="8" w:space="0" w:color="4BACC6" w:themeColor="accent5"/>
                  </w:tcBorders>
                  <w:shd w:val="clear" w:color="auto" w:fill="auto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FE1">
                    <w:rPr>
                      <w:rFonts w:ascii="Times New Roman" w:eastAsiaTheme="majorEastAsia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double" w:sz="6" w:space="0" w:color="4BACC6" w:themeColor="accent5"/>
                    <w:left w:val="single" w:sz="8" w:space="0" w:color="4BACC6" w:themeColor="accent5"/>
                    <w:bottom w:val="single" w:sz="8" w:space="0" w:color="4BACC6" w:themeColor="accent5"/>
                    <w:right w:val="single" w:sz="8" w:space="0" w:color="4BACC6" w:themeColor="accent5"/>
                  </w:tcBorders>
                  <w:shd w:val="clear" w:color="auto" w:fill="D2EAF1" w:themeFill="accent5" w:themeFillTint="3F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FE1">
                    <w:rPr>
                      <w:rFonts w:ascii="Times New Roman" w:eastAsiaTheme="majorEastAsia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4" w:type="dxa"/>
                  <w:tcBorders>
                    <w:top w:val="double" w:sz="6" w:space="0" w:color="4BACC6" w:themeColor="accent5"/>
                    <w:left w:val="single" w:sz="8" w:space="0" w:color="4BACC6" w:themeColor="accent5"/>
                    <w:bottom w:val="single" w:sz="8" w:space="0" w:color="4BACC6" w:themeColor="accent5"/>
                    <w:right w:val="single" w:sz="8" w:space="0" w:color="4BACC6" w:themeColor="accent5"/>
                  </w:tcBorders>
                  <w:shd w:val="clear" w:color="auto" w:fill="auto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FE1">
                    <w:rPr>
                      <w:rFonts w:ascii="Times New Roman" w:eastAsiaTheme="majorEastAsia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double" w:sz="6" w:space="0" w:color="4BACC6" w:themeColor="accent5"/>
                    <w:left w:val="single" w:sz="8" w:space="0" w:color="4BACC6" w:themeColor="accent5"/>
                    <w:bottom w:val="single" w:sz="8" w:space="0" w:color="4BACC6" w:themeColor="accent5"/>
                    <w:right w:val="single" w:sz="8" w:space="0" w:color="4BACC6" w:themeColor="accent5"/>
                  </w:tcBorders>
                  <w:shd w:val="clear" w:color="auto" w:fill="D2EAF1" w:themeFill="accent5" w:themeFillTint="3F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FE1">
                    <w:rPr>
                      <w:rFonts w:ascii="Times New Roman" w:eastAsiaTheme="majorEastAsia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4" w:type="dxa"/>
                  <w:tcBorders>
                    <w:top w:val="double" w:sz="6" w:space="0" w:color="4BACC6" w:themeColor="accent5"/>
                    <w:left w:val="single" w:sz="8" w:space="0" w:color="4BACC6" w:themeColor="accent5"/>
                    <w:bottom w:val="single" w:sz="8" w:space="0" w:color="4BACC6" w:themeColor="accent5"/>
                    <w:right w:val="single" w:sz="8" w:space="0" w:color="4BACC6" w:themeColor="accent5"/>
                  </w:tcBorders>
                  <w:shd w:val="clear" w:color="auto" w:fill="auto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FE1">
                    <w:rPr>
                      <w:rFonts w:ascii="Times New Roman" w:eastAsiaTheme="majorEastAsia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double" w:sz="6" w:space="0" w:color="4BACC6" w:themeColor="accent5"/>
                    <w:left w:val="single" w:sz="8" w:space="0" w:color="4BACC6" w:themeColor="accent5"/>
                    <w:bottom w:val="single" w:sz="8" w:space="0" w:color="4BACC6" w:themeColor="accent5"/>
                    <w:right w:val="single" w:sz="8" w:space="0" w:color="4BACC6" w:themeColor="accent5"/>
                  </w:tcBorders>
                  <w:shd w:val="clear" w:color="auto" w:fill="auto"/>
                  <w:hideMark/>
                </w:tcPr>
                <w:p w:rsidR="00863FE1" w:rsidRPr="00863FE1" w:rsidRDefault="00863FE1" w:rsidP="00863FE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FE1">
                    <w:rPr>
                      <w:rFonts w:ascii="Times New Roman" w:eastAsiaTheme="majorEastAsia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63FE1" w:rsidRPr="00863FE1" w:rsidRDefault="00863FE1" w:rsidP="00863F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</w:t>
            </w:r>
          </w:p>
          <w:p w:rsidR="00863FE1" w:rsidRPr="00863FE1" w:rsidRDefault="00863FE1" w:rsidP="00F84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2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оформления титульного листа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РФ и науки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E437BB" w:rsidRPr="004D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</w:t>
            </w:r>
            <w:r w:rsidR="0088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№ </w:t>
            </w:r>
            <w:r w:rsidR="00E437BB" w:rsidRPr="004D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FE1" w:rsidRPr="00863FE1" w:rsidRDefault="004D2E56" w:rsidP="004D2E56">
            <w:pPr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863FE1"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Выполнил: ученик  класса   Ф.И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Руководитель: Ф.И.О.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FE1" w:rsidRPr="00863FE1" w:rsidRDefault="00863FE1" w:rsidP="00863FE1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FE1" w:rsidRPr="00863FE1" w:rsidRDefault="00E437BB" w:rsidP="00E4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4D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D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Пермь, 2017</w:t>
            </w:r>
            <w:r w:rsidR="00863FE1" w:rsidRPr="0086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</w:tr>
    </w:tbl>
    <w:p w:rsidR="00BA11A8" w:rsidRDefault="00BA11A8"/>
    <w:sectPr w:rsidR="00BA11A8" w:rsidSect="00BA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4F74"/>
    <w:multiLevelType w:val="hybridMultilevel"/>
    <w:tmpl w:val="DB340A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161887"/>
    <w:multiLevelType w:val="hybridMultilevel"/>
    <w:tmpl w:val="6E66C2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EB2"/>
    <w:rsid w:val="001A751A"/>
    <w:rsid w:val="001D038A"/>
    <w:rsid w:val="003E566F"/>
    <w:rsid w:val="00486043"/>
    <w:rsid w:val="004D2E56"/>
    <w:rsid w:val="00547A82"/>
    <w:rsid w:val="00716A90"/>
    <w:rsid w:val="007B6EB2"/>
    <w:rsid w:val="007C0645"/>
    <w:rsid w:val="00863FE1"/>
    <w:rsid w:val="00885566"/>
    <w:rsid w:val="00BA11A8"/>
    <w:rsid w:val="00E437BB"/>
    <w:rsid w:val="00F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E783"/>
  <w15:docId w15:val="{E31DCC1D-79FF-416B-8C69-28E47406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A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B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B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6EB2"/>
    <w:rPr>
      <w:b/>
      <w:bCs/>
    </w:rPr>
  </w:style>
  <w:style w:type="character" w:styleId="a6">
    <w:name w:val="Emphasis"/>
    <w:basedOn w:val="a0"/>
    <w:uiPriority w:val="20"/>
    <w:qFormat/>
    <w:rsid w:val="007B6EB2"/>
    <w:rPr>
      <w:i/>
      <w:iCs/>
    </w:rPr>
  </w:style>
  <w:style w:type="paragraph" w:styleId="a7">
    <w:name w:val="Normal (Web)"/>
    <w:basedOn w:val="a"/>
    <w:uiPriority w:val="99"/>
    <w:unhideWhenUsed/>
    <w:rsid w:val="007B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B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y1">
    <w:name w:val="aay1"/>
    <w:basedOn w:val="a"/>
    <w:rsid w:val="007B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63F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3FE1"/>
  </w:style>
  <w:style w:type="character" w:customStyle="1" w:styleId="articleseparator">
    <w:name w:val="article_separator"/>
    <w:basedOn w:val="a0"/>
    <w:rsid w:val="00863FE1"/>
  </w:style>
  <w:style w:type="paragraph" w:styleId="ac">
    <w:name w:val="List Paragraph"/>
    <w:basedOn w:val="a"/>
    <w:uiPriority w:val="34"/>
    <w:qFormat/>
    <w:rsid w:val="0048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костёр</dc:creator>
  <cp:keywords/>
  <dc:description/>
  <cp:lastModifiedBy>irishka_k701@outlook.com</cp:lastModifiedBy>
  <cp:revision>12</cp:revision>
  <dcterms:created xsi:type="dcterms:W3CDTF">2017-01-22T14:16:00Z</dcterms:created>
  <dcterms:modified xsi:type="dcterms:W3CDTF">2017-03-18T18:56:00Z</dcterms:modified>
</cp:coreProperties>
</file>